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73E7E2B5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B95A35">
        <w:rPr>
          <w:rFonts w:cs="Times"/>
          <w:b/>
          <w:color w:val="000000" w:themeColor="text1"/>
        </w:rPr>
        <w:t>GEOGRAFI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B95A35" w:rsidRPr="00E92EA5" w14:paraId="003D66BD" w14:textId="77777777" w:rsidTr="00E92EA5">
        <w:tc>
          <w:tcPr>
            <w:tcW w:w="5240" w:type="dxa"/>
            <w:vAlign w:val="center"/>
          </w:tcPr>
          <w:p w14:paraId="53CF4B40" w14:textId="119B19DF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geografiska förhållanden, mönster och processer. Eleven för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enkla </w:t>
            </w:r>
            <w:r>
              <w:rPr>
                <w:rFonts w:ascii="Source Sans Pro" w:hAnsi="Source Sans Pro" w:cs="Calibri"/>
                <w:color w:val="262626"/>
              </w:rPr>
              <w:t>resonemang om orsaker till geografiska mönster och processer samt om deras konsekvenser för människa, samhälle och natur. Eleven visar även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namn och lägen på relevanta platser och regioner i olika delar av världen.</w:t>
            </w:r>
          </w:p>
        </w:tc>
        <w:tc>
          <w:tcPr>
            <w:tcW w:w="1276" w:type="dxa"/>
          </w:tcPr>
          <w:p w14:paraId="5286CA17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B95A35" w:rsidRPr="00E92EA5" w14:paraId="4C78F58C" w14:textId="77777777" w:rsidTr="00E92EA5">
        <w:tc>
          <w:tcPr>
            <w:tcW w:w="5240" w:type="dxa"/>
            <w:vAlign w:val="center"/>
          </w:tcPr>
          <w:p w14:paraId="3D356334" w14:textId="4ED7F0D9" w:rsidR="00B95A3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miljö- och utvecklingsfrågor. Eleven för också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resonemang om åtgärder för att främja hållbar utveckling utifrån ekologiska, sociala och ekonomiska perspektiv.</w:t>
            </w:r>
          </w:p>
        </w:tc>
        <w:tc>
          <w:tcPr>
            <w:tcW w:w="1276" w:type="dxa"/>
          </w:tcPr>
          <w:p w14:paraId="61A6A63B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B95A35" w:rsidRPr="00E92EA5" w14:paraId="61F6635C" w14:textId="77777777" w:rsidTr="00E92EA5">
        <w:tc>
          <w:tcPr>
            <w:tcW w:w="5240" w:type="dxa"/>
            <w:vAlign w:val="center"/>
          </w:tcPr>
          <w:p w14:paraId="321B6B52" w14:textId="1C0EBA1D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använder geografins metoder och verktyg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sätt för att utifrån geografiska frågor beskriva och analysera förhållanden på olika platser och i olika regioner.</w:t>
            </w:r>
          </w:p>
        </w:tc>
        <w:tc>
          <w:tcPr>
            <w:tcW w:w="1276" w:type="dxa"/>
          </w:tcPr>
          <w:p w14:paraId="519572D3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3EB4"/>
    <w:rsid w:val="004D20C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8</cp:revision>
  <dcterms:created xsi:type="dcterms:W3CDTF">2023-01-30T14:01:00Z</dcterms:created>
  <dcterms:modified xsi:type="dcterms:W3CDTF">2023-01-30T14:12:00Z</dcterms:modified>
</cp:coreProperties>
</file>